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BF" w:rsidRDefault="009C15C1" w:rsidP="00534B1A">
      <w:pPr>
        <w:shd w:val="clear" w:color="auto" w:fill="BDBDCC"/>
        <w:spacing w:after="200"/>
        <w:ind w:firstLine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Cs w:val="28"/>
        </w:rPr>
        <w:t>П</w:t>
      </w:r>
      <w:r w:rsidR="00415D83">
        <w:rPr>
          <w:rFonts w:ascii="Arial" w:hAnsi="Arial" w:cs="Arial"/>
          <w:b/>
          <w:color w:val="0D0D0D" w:themeColor="text1" w:themeTint="F2"/>
          <w:szCs w:val="28"/>
        </w:rPr>
        <w:t>рием и выбытие работников</w:t>
      </w:r>
      <w:r>
        <w:rPr>
          <w:rFonts w:ascii="Arial" w:hAnsi="Arial" w:cs="Arial"/>
          <w:b/>
          <w:color w:val="0D0D0D" w:themeColor="text1" w:themeTint="F2"/>
          <w:szCs w:val="28"/>
        </w:rPr>
        <w:t>,</w:t>
      </w:r>
      <w:r w:rsidRPr="009C15C1">
        <w:rPr>
          <w:rFonts w:ascii="Arial" w:hAnsi="Arial" w:cs="Arial"/>
          <w:b/>
          <w:color w:val="0D0D0D" w:themeColor="text1" w:themeTint="F2"/>
          <w:szCs w:val="28"/>
        </w:rPr>
        <w:t xml:space="preserve"> </w:t>
      </w:r>
      <w:r>
        <w:rPr>
          <w:rFonts w:ascii="Arial" w:hAnsi="Arial" w:cs="Arial"/>
          <w:b/>
          <w:color w:val="0D0D0D" w:themeColor="text1" w:themeTint="F2"/>
          <w:szCs w:val="28"/>
        </w:rPr>
        <w:t>неполная занятость</w:t>
      </w:r>
    </w:p>
    <w:p w:rsidR="00EA4479" w:rsidRDefault="00EA4479" w:rsidP="00534B1A">
      <w:pPr>
        <w:pStyle w:val="a7"/>
        <w:spacing w:before="0" w:after="0" w:line="312" w:lineRule="auto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9C19CC" w:rsidRPr="00C4600A" w:rsidRDefault="009C19CC" w:rsidP="00CB60D0">
      <w:pPr>
        <w:pStyle w:val="a7"/>
        <w:spacing w:before="0" w:after="200" w:line="288" w:lineRule="auto"/>
        <w:ind w:left="0" w:righ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4600A">
        <w:rPr>
          <w:rFonts w:ascii="Arial" w:hAnsi="Arial" w:cs="Arial"/>
          <w:sz w:val="24"/>
          <w:szCs w:val="24"/>
        </w:rPr>
        <w:t xml:space="preserve">Данные о </w:t>
      </w:r>
      <w:r w:rsidR="00415D83" w:rsidRPr="00C4600A">
        <w:rPr>
          <w:rFonts w:ascii="Arial" w:hAnsi="Arial" w:cs="Arial"/>
          <w:sz w:val="24"/>
          <w:szCs w:val="24"/>
        </w:rPr>
        <w:t xml:space="preserve">приеме и выбытии, а также о </w:t>
      </w:r>
      <w:r w:rsidRPr="00C4600A">
        <w:rPr>
          <w:rFonts w:ascii="Arial" w:hAnsi="Arial" w:cs="Arial"/>
          <w:sz w:val="24"/>
          <w:szCs w:val="24"/>
        </w:rPr>
        <w:t xml:space="preserve">численности работников, работавших неполное рабочее время и находившихся </w:t>
      </w:r>
      <w:r w:rsidR="00C4600A">
        <w:rPr>
          <w:rFonts w:ascii="Arial" w:hAnsi="Arial" w:cs="Arial"/>
          <w:sz w:val="24"/>
          <w:szCs w:val="24"/>
        </w:rPr>
        <w:br/>
      </w:r>
      <w:r w:rsidRPr="00C4600A">
        <w:rPr>
          <w:rFonts w:ascii="Arial" w:hAnsi="Arial" w:cs="Arial"/>
          <w:sz w:val="24"/>
          <w:szCs w:val="24"/>
        </w:rPr>
        <w:t xml:space="preserve">в простое, </w:t>
      </w:r>
      <w:r w:rsidR="00C4600A">
        <w:rPr>
          <w:rFonts w:ascii="Arial" w:hAnsi="Arial" w:cs="Arial"/>
          <w:sz w:val="24"/>
          <w:szCs w:val="24"/>
        </w:rPr>
        <w:t>сформированы</w:t>
      </w:r>
      <w:r w:rsidRPr="00C4600A">
        <w:rPr>
          <w:rFonts w:ascii="Arial" w:hAnsi="Arial" w:cs="Arial"/>
          <w:sz w:val="24"/>
          <w:szCs w:val="24"/>
        </w:rPr>
        <w:t xml:space="preserve"> на основании федерального статистического наблюдения по форме № П-4 (НЗ) «Сведения </w:t>
      </w:r>
      <w:r w:rsidR="00C4600A">
        <w:rPr>
          <w:rFonts w:ascii="Arial" w:hAnsi="Arial" w:cs="Arial"/>
          <w:sz w:val="24"/>
          <w:szCs w:val="24"/>
        </w:rPr>
        <w:br/>
      </w:r>
      <w:r w:rsidRPr="00C4600A">
        <w:rPr>
          <w:rFonts w:ascii="Arial" w:hAnsi="Arial" w:cs="Arial"/>
          <w:sz w:val="24"/>
          <w:szCs w:val="24"/>
        </w:rPr>
        <w:t xml:space="preserve">о неполной занятости и движении работников» ежеквартально по организациям, не относящимся к  субъектам малого предпринимательства, средняя численность работников которых превышает 15 человек (включая работающих </w:t>
      </w:r>
      <w:r w:rsidR="00C4600A">
        <w:rPr>
          <w:rFonts w:ascii="Arial" w:hAnsi="Arial" w:cs="Arial"/>
          <w:sz w:val="24"/>
          <w:szCs w:val="24"/>
        </w:rPr>
        <w:br/>
      </w:r>
      <w:r w:rsidRPr="00C4600A">
        <w:rPr>
          <w:rFonts w:ascii="Arial" w:hAnsi="Arial" w:cs="Arial"/>
          <w:sz w:val="24"/>
          <w:szCs w:val="24"/>
        </w:rPr>
        <w:t>по совместительству и договорам гражданско-правового характера) всех</w:t>
      </w:r>
      <w:proofErr w:type="gramEnd"/>
      <w:r w:rsidRPr="00C4600A">
        <w:rPr>
          <w:rFonts w:ascii="Arial" w:hAnsi="Arial" w:cs="Arial"/>
          <w:sz w:val="24"/>
          <w:szCs w:val="24"/>
        </w:rPr>
        <w:t xml:space="preserve"> видов экономической деятельности и форм собственности.</w:t>
      </w:r>
    </w:p>
    <w:p w:rsidR="00415D83" w:rsidRPr="00C4600A" w:rsidRDefault="00415D83" w:rsidP="00CB60D0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>численность принятых работников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>списочного состава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 включаются лица, зачисленные в отчетном </w:t>
      </w:r>
      <w:r w:rsidR="009C15C1" w:rsidRPr="00C4600A">
        <w:rPr>
          <w:rFonts w:ascii="Arial" w:eastAsiaTheme="minorHAnsi" w:hAnsi="Arial" w:cs="Arial"/>
          <w:sz w:val="24"/>
          <w:szCs w:val="24"/>
          <w:lang w:eastAsia="en-US"/>
        </w:rPr>
        <w:t>периоде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4600A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>в организацию приказом (распоряжением) о приеме на работу, переведенные на работу из другой организации (юридического лица ил</w:t>
      </w:r>
      <w:r w:rsidR="000D6D1F">
        <w:rPr>
          <w:rFonts w:ascii="Arial" w:eastAsiaTheme="minorHAnsi" w:hAnsi="Arial" w:cs="Arial"/>
          <w:sz w:val="24"/>
          <w:szCs w:val="24"/>
          <w:lang w:eastAsia="en-US"/>
        </w:rPr>
        <w:t>и обособленного подразделения).</w:t>
      </w:r>
    </w:p>
    <w:p w:rsidR="00415D83" w:rsidRDefault="00415D83" w:rsidP="00CB60D0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>численность выбывших работников списочного состава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 включаются все работники, оставившие работу </w:t>
      </w:r>
      <w:r w:rsidR="00CB60D0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в организации независимо от оснований: расторжение трудового договора по инициативе работника, инициативе работодателя, истечение срока трудового договора или срочного трудового договора, по соглашению сторон, призыв или поступление </w:t>
      </w:r>
      <w:r w:rsidR="000D6D1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>на военную службу, перевод работника с его согласия в другую организацию (юридическое лицо или обособленное подразделение) и др., уход или перевод которых</w:t>
      </w:r>
      <w:proofErr w:type="gramEnd"/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C4600A">
        <w:rPr>
          <w:rFonts w:ascii="Arial" w:eastAsiaTheme="minorHAnsi" w:hAnsi="Arial" w:cs="Arial"/>
          <w:sz w:val="24"/>
          <w:szCs w:val="24"/>
          <w:lang w:eastAsia="en-US"/>
        </w:rPr>
        <w:t>оформлен</w:t>
      </w:r>
      <w:proofErr w:type="gramEnd"/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 приказом (распоряжением).</w:t>
      </w:r>
    </w:p>
    <w:p w:rsidR="009C19CC" w:rsidRPr="00C4600A" w:rsidRDefault="009C19CC" w:rsidP="00CB60D0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>численность работников, работавших неполное рабочее время по инициативе работодателя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>, включаются работники списочного состава, работавшие в отчетном квартале неполное рабочее время в соответствии со статьей 74 Трудовог</w:t>
      </w:r>
      <w:r w:rsidR="000D6D1F">
        <w:rPr>
          <w:rFonts w:ascii="Arial" w:eastAsiaTheme="minorHAnsi" w:hAnsi="Arial" w:cs="Arial"/>
          <w:sz w:val="24"/>
          <w:szCs w:val="24"/>
          <w:lang w:eastAsia="en-US"/>
        </w:rPr>
        <w:t>о кодекса Российской Федерации.</w:t>
      </w:r>
    </w:p>
    <w:p w:rsidR="009C19CC" w:rsidRPr="00C4600A" w:rsidRDefault="009C19CC" w:rsidP="00CB60D0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численность работников, работавших неполное рабочее время по соглашению между работником </w:t>
      </w:r>
      <w:r w:rsidR="00CB60D0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>и работодателем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, включаются работники списочного состава, работавшие в режиме неполного рабочего дня (недели) </w:t>
      </w:r>
      <w:r w:rsidR="00CB60D0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>в соответствии с трудовым договором или переведенные с согласия работника на работу на неполное рабочее время (статья 93 Трудового</w:t>
      </w:r>
      <w:r w:rsidR="000D6D1F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Федерации).</w:t>
      </w:r>
    </w:p>
    <w:p w:rsidR="009C19CC" w:rsidRDefault="009C19CC" w:rsidP="00CB60D0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численность работников, находившихся в простое по вине работодателя и по причинам, не зависящим </w:t>
      </w:r>
      <w:r w:rsidR="00C4600A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b/>
          <w:sz w:val="24"/>
          <w:szCs w:val="24"/>
          <w:lang w:eastAsia="en-US"/>
        </w:rPr>
        <w:t>от работодателя и работника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>, включаются работники, находившиеся в простое полный рабочий день по причинам, зависящим от работодателя (не обеспечение работников необходимым оборудованием, инструментами, технической документацией,</w:t>
      </w:r>
      <w:proofErr w:type="gramEnd"/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C4600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объемом работ, необходимыми для исполнения трудовых обязанностей, невыполнение договорных обязательств перед партнерами, приведшее </w:t>
      </w:r>
      <w:r w:rsidR="00E73995">
        <w:rPr>
          <w:rFonts w:ascii="Arial" w:eastAsiaTheme="minorHAnsi" w:hAnsi="Arial" w:cs="Arial"/>
          <w:sz w:val="24"/>
          <w:szCs w:val="24"/>
          <w:lang w:eastAsia="en-US"/>
        </w:rPr>
        <w:t xml:space="preserve">к </w:t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срыву графика поставки сырья или вывоза готовой продукции со склада), а также по причинам, </w:t>
      </w:r>
      <w:r w:rsidR="00C4600A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>не зависящим от работодателя и раб</w:t>
      </w:r>
      <w:bookmarkStart w:id="0" w:name="_GoBack"/>
      <w:bookmarkEnd w:id="0"/>
      <w:r w:rsidRPr="00C4600A">
        <w:rPr>
          <w:rFonts w:ascii="Arial" w:eastAsiaTheme="minorHAnsi" w:hAnsi="Arial" w:cs="Arial"/>
          <w:sz w:val="24"/>
          <w:szCs w:val="24"/>
          <w:lang w:eastAsia="en-US"/>
        </w:rPr>
        <w:t xml:space="preserve">отника (обстоятельства непредвиденного характера, например, аварии или перебои </w:t>
      </w:r>
      <w:r w:rsidR="008224D7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C4600A">
        <w:rPr>
          <w:rFonts w:ascii="Arial" w:eastAsiaTheme="minorHAnsi" w:hAnsi="Arial" w:cs="Arial"/>
          <w:sz w:val="24"/>
          <w:szCs w:val="24"/>
          <w:lang w:eastAsia="en-US"/>
        </w:rPr>
        <w:t>в подаче воды, тепла, электроэнергии, стихийные бедствия и т.п.).</w:t>
      </w:r>
      <w:proofErr w:type="gramEnd"/>
    </w:p>
    <w:p w:rsidR="000D6D1F" w:rsidRDefault="000D6D1F" w:rsidP="009D71B1">
      <w:pPr>
        <w:pStyle w:val="a7"/>
        <w:spacing w:after="360" w:line="288" w:lineRule="auto"/>
        <w:ind w:left="0" w:right="-28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>оказатели численности принятых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 xml:space="preserve"> выбывших работников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 ч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>исленност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 xml:space="preserve"> работников, работавших неполное рабочее время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>рассчитываются в процентах к списочной численности работников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0D6D1F">
        <w:rPr>
          <w:rFonts w:ascii="Arial" w:eastAsiaTheme="minorHAnsi" w:hAnsi="Arial" w:cs="Arial"/>
          <w:b/>
          <w:sz w:val="24"/>
          <w:szCs w:val="24"/>
          <w:lang w:eastAsia="en-US"/>
        </w:rPr>
        <w:t>списочную численность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>включаются наемные работники, работавшие по трудовому договору и выполнявшие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 xml:space="preserve">постоянную, временную или сезонную работу один день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>и более, а также работавшие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>собственники организаций, получавшие заработную плату в данной организации.</w:t>
      </w:r>
    </w:p>
    <w:p w:rsidR="000D6D1F" w:rsidRDefault="000D6D1F" w:rsidP="000D6D1F">
      <w:pPr>
        <w:pStyle w:val="a7"/>
        <w:spacing w:after="200"/>
        <w:ind w:left="0" w:right="-31" w:firstLine="71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D6D1F">
        <w:rPr>
          <w:rFonts w:ascii="Arial" w:eastAsiaTheme="minorHAnsi" w:hAnsi="Arial" w:cs="Arial"/>
          <w:b/>
          <w:sz w:val="24"/>
          <w:szCs w:val="24"/>
          <w:lang w:eastAsia="en-US"/>
        </w:rPr>
        <w:t>ОСОБЕННОСТИ УЧЕТА ДОБРОВОЛЬЦЕВ И МОБИЛИЗОВАННЫХ РАБОТНИКОВ</w:t>
      </w:r>
    </w:p>
    <w:p w:rsidR="000D6D1F" w:rsidRDefault="000D6D1F" w:rsidP="009D71B1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D6D1F">
        <w:rPr>
          <w:rFonts w:ascii="Arial" w:eastAsiaTheme="minorHAnsi" w:hAnsi="Arial" w:cs="Arial"/>
          <w:sz w:val="24"/>
          <w:szCs w:val="24"/>
          <w:lang w:eastAsia="en-US"/>
        </w:rPr>
        <w:t xml:space="preserve">За призванными сохраняется рабочее место, а действие заключенного с ними трудового договора приостанавливается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0D6D1F">
        <w:rPr>
          <w:rFonts w:ascii="Arial" w:eastAsiaTheme="minorHAnsi" w:hAnsi="Arial" w:cs="Arial"/>
          <w:sz w:val="24"/>
          <w:szCs w:val="24"/>
          <w:lang w:eastAsia="en-US"/>
        </w:rPr>
        <w:t>на период прохождения работниками военной службы или оказания ими добровольного содействия в выполнении задач, возложенных на Вооруженные Силы Российской Федерации.</w:t>
      </w:r>
      <w:proofErr w:type="gramEnd"/>
    </w:p>
    <w:p w:rsidR="000D6D1F" w:rsidRPr="00C4600A" w:rsidRDefault="009D71B1" w:rsidP="009D71B1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0D6D1F" w:rsidRPr="000D6D1F">
        <w:rPr>
          <w:rFonts w:ascii="Arial" w:eastAsiaTheme="minorHAnsi" w:hAnsi="Arial" w:cs="Arial"/>
          <w:sz w:val="24"/>
          <w:szCs w:val="24"/>
          <w:lang w:eastAsia="en-US"/>
        </w:rPr>
        <w:t xml:space="preserve">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 включаются в численность работников списочного состава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0D6D1F" w:rsidRPr="000D6D1F">
        <w:rPr>
          <w:rFonts w:ascii="Arial" w:eastAsiaTheme="minorHAnsi" w:hAnsi="Arial" w:cs="Arial"/>
          <w:sz w:val="24"/>
          <w:szCs w:val="24"/>
          <w:lang w:eastAsia="en-US"/>
        </w:rPr>
        <w:t>и не включаются в численность выбывших работников</w:t>
      </w:r>
      <w:r w:rsidR="000D6D1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60D0" w:rsidRPr="00C4600A" w:rsidRDefault="00CB60D0" w:rsidP="00CB60D0">
      <w:pPr>
        <w:pStyle w:val="a7"/>
        <w:spacing w:before="0" w:after="200" w:line="288" w:lineRule="auto"/>
        <w:ind w:left="0" w:righ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C61542" w:rsidRPr="00C61542" w:rsidTr="007B213A">
        <w:trPr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6112DF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4922" w:type="dxa"/>
            <w:shd w:val="clear" w:color="auto" w:fill="BDBDCC"/>
          </w:tcPr>
          <w:p w:rsidR="00C61542" w:rsidRPr="00825251" w:rsidRDefault="00BD4857" w:rsidP="00BE77AC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C46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орма </w:t>
            </w:r>
            <w:r w:rsidR="00C4600A" w:rsidRPr="00147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статистического наблюдения</w:t>
            </w:r>
            <w:r w:rsidR="00C46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2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П-4(НЗ) «</w:t>
            </w:r>
            <w:r w:rsidR="009C19CC" w:rsidRPr="009C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</w:t>
            </w:r>
            <w:r w:rsidR="009C15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C19CC" w:rsidRPr="009C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неполной</w:t>
            </w:r>
            <w:r w:rsidR="009C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C19CC" w:rsidRPr="009C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занятости и движении работников</w:t>
            </w:r>
            <w:r w:rsidR="00DA2F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D4857" w:rsidRPr="00C61542" w:rsidTr="00BD4857">
        <w:trPr>
          <w:trHeight w:val="435"/>
          <w:jc w:val="center"/>
        </w:trPr>
        <w:tc>
          <w:tcPr>
            <w:tcW w:w="2567" w:type="dxa"/>
            <w:shd w:val="clear" w:color="auto" w:fill="auto"/>
          </w:tcPr>
          <w:p w:rsidR="00BD4857" w:rsidRPr="00C61542" w:rsidRDefault="00BD4857" w:rsidP="006112DF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BD4857" w:rsidRDefault="00BD4857" w:rsidP="00BE77A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квартальная</w:t>
            </w:r>
          </w:p>
        </w:tc>
      </w:tr>
    </w:tbl>
    <w:p w:rsidR="00C61542" w:rsidRDefault="00C61542" w:rsidP="009D71B1">
      <w:pPr>
        <w:spacing w:after="200" w:line="240" w:lineRule="auto"/>
        <w:rPr>
          <w:rFonts w:ascii="Arial" w:hAnsi="Arial" w:cs="Arial"/>
          <w:sz w:val="24"/>
          <w:szCs w:val="24"/>
        </w:rPr>
      </w:pPr>
    </w:p>
    <w:sectPr w:rsidR="00C61542" w:rsidSect="000D6D1F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5C" w:rsidRDefault="00E6175C" w:rsidP="00222BE3">
      <w:pPr>
        <w:spacing w:line="240" w:lineRule="auto"/>
      </w:pPr>
      <w:r>
        <w:separator/>
      </w:r>
    </w:p>
  </w:endnote>
  <w:endnote w:type="continuationSeparator" w:id="0">
    <w:p w:rsidR="00E6175C" w:rsidRDefault="00E6175C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5C" w:rsidRDefault="00E6175C" w:rsidP="00222BE3">
      <w:pPr>
        <w:spacing w:line="240" w:lineRule="auto"/>
      </w:pPr>
      <w:r>
        <w:separator/>
      </w:r>
    </w:p>
  </w:footnote>
  <w:footnote w:type="continuationSeparator" w:id="0">
    <w:p w:rsidR="00E6175C" w:rsidRDefault="00E6175C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79" w:rsidRPr="00404885" w:rsidRDefault="00EA4479" w:rsidP="00EA447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C3"/>
    <w:rsid w:val="000038AD"/>
    <w:rsid w:val="0004448C"/>
    <w:rsid w:val="00060931"/>
    <w:rsid w:val="000A4F27"/>
    <w:rsid w:val="000A78C6"/>
    <w:rsid w:val="000D6D1F"/>
    <w:rsid w:val="000F43AB"/>
    <w:rsid w:val="00117B8E"/>
    <w:rsid w:val="00127AB3"/>
    <w:rsid w:val="001550CA"/>
    <w:rsid w:val="001758F7"/>
    <w:rsid w:val="00177438"/>
    <w:rsid w:val="00177872"/>
    <w:rsid w:val="001A4196"/>
    <w:rsid w:val="001E16EB"/>
    <w:rsid w:val="00204EDC"/>
    <w:rsid w:val="00212002"/>
    <w:rsid w:val="0021696C"/>
    <w:rsid w:val="00222BE3"/>
    <w:rsid w:val="00227379"/>
    <w:rsid w:val="002464A2"/>
    <w:rsid w:val="0026792F"/>
    <w:rsid w:val="00274F0E"/>
    <w:rsid w:val="00290EA2"/>
    <w:rsid w:val="002C5F86"/>
    <w:rsid w:val="002C66E8"/>
    <w:rsid w:val="002C785C"/>
    <w:rsid w:val="002E4915"/>
    <w:rsid w:val="002F52C6"/>
    <w:rsid w:val="00363492"/>
    <w:rsid w:val="003637FD"/>
    <w:rsid w:val="0037250B"/>
    <w:rsid w:val="00384AA9"/>
    <w:rsid w:val="00396C99"/>
    <w:rsid w:val="003D1E1E"/>
    <w:rsid w:val="00400DD7"/>
    <w:rsid w:val="00402FF2"/>
    <w:rsid w:val="0041597F"/>
    <w:rsid w:val="00415D83"/>
    <w:rsid w:val="00473623"/>
    <w:rsid w:val="00481284"/>
    <w:rsid w:val="004B2EA5"/>
    <w:rsid w:val="004C02A5"/>
    <w:rsid w:val="004C56F2"/>
    <w:rsid w:val="004C7925"/>
    <w:rsid w:val="004D0FD6"/>
    <w:rsid w:val="004D139B"/>
    <w:rsid w:val="004D1BB8"/>
    <w:rsid w:val="004D4F2B"/>
    <w:rsid w:val="004D7BB7"/>
    <w:rsid w:val="004F3E96"/>
    <w:rsid w:val="004F55F1"/>
    <w:rsid w:val="005209E8"/>
    <w:rsid w:val="00534B1A"/>
    <w:rsid w:val="00536BD8"/>
    <w:rsid w:val="0056495D"/>
    <w:rsid w:val="00586ECE"/>
    <w:rsid w:val="0059717C"/>
    <w:rsid w:val="005B4498"/>
    <w:rsid w:val="005E0B94"/>
    <w:rsid w:val="005F0BE0"/>
    <w:rsid w:val="006112DF"/>
    <w:rsid w:val="006333E3"/>
    <w:rsid w:val="0064081B"/>
    <w:rsid w:val="0066181F"/>
    <w:rsid w:val="00695FDF"/>
    <w:rsid w:val="006A377B"/>
    <w:rsid w:val="006A737B"/>
    <w:rsid w:val="006B3676"/>
    <w:rsid w:val="006C2D1D"/>
    <w:rsid w:val="006D74E4"/>
    <w:rsid w:val="006E407E"/>
    <w:rsid w:val="0074469A"/>
    <w:rsid w:val="007457CD"/>
    <w:rsid w:val="0074675B"/>
    <w:rsid w:val="00746B28"/>
    <w:rsid w:val="007A569F"/>
    <w:rsid w:val="007A69B6"/>
    <w:rsid w:val="007A69BF"/>
    <w:rsid w:val="007A6D7A"/>
    <w:rsid w:val="007B213A"/>
    <w:rsid w:val="007D1147"/>
    <w:rsid w:val="007E0231"/>
    <w:rsid w:val="007F2EDA"/>
    <w:rsid w:val="008224D7"/>
    <w:rsid w:val="00824964"/>
    <w:rsid w:val="00825251"/>
    <w:rsid w:val="00847FC1"/>
    <w:rsid w:val="00861460"/>
    <w:rsid w:val="008629A4"/>
    <w:rsid w:val="00863FA9"/>
    <w:rsid w:val="008660D7"/>
    <w:rsid w:val="0089582F"/>
    <w:rsid w:val="008C024E"/>
    <w:rsid w:val="008C428A"/>
    <w:rsid w:val="008F10E2"/>
    <w:rsid w:val="008F58C9"/>
    <w:rsid w:val="00922709"/>
    <w:rsid w:val="009415C3"/>
    <w:rsid w:val="00944DFE"/>
    <w:rsid w:val="00955745"/>
    <w:rsid w:val="009A0AFF"/>
    <w:rsid w:val="009B1B94"/>
    <w:rsid w:val="009C15C1"/>
    <w:rsid w:val="009C19CC"/>
    <w:rsid w:val="009D71B1"/>
    <w:rsid w:val="00A878F9"/>
    <w:rsid w:val="00A92FEE"/>
    <w:rsid w:val="00AA3A22"/>
    <w:rsid w:val="00AB4DFF"/>
    <w:rsid w:val="00AB6457"/>
    <w:rsid w:val="00AE7E13"/>
    <w:rsid w:val="00B22076"/>
    <w:rsid w:val="00B32F52"/>
    <w:rsid w:val="00B36793"/>
    <w:rsid w:val="00B44EC6"/>
    <w:rsid w:val="00B54830"/>
    <w:rsid w:val="00B5787E"/>
    <w:rsid w:val="00B723AF"/>
    <w:rsid w:val="00BA6D1D"/>
    <w:rsid w:val="00BB0817"/>
    <w:rsid w:val="00BD2870"/>
    <w:rsid w:val="00BD4857"/>
    <w:rsid w:val="00BE77AC"/>
    <w:rsid w:val="00C10DAD"/>
    <w:rsid w:val="00C27115"/>
    <w:rsid w:val="00C36FF5"/>
    <w:rsid w:val="00C42B25"/>
    <w:rsid w:val="00C4600A"/>
    <w:rsid w:val="00C61542"/>
    <w:rsid w:val="00CB60D0"/>
    <w:rsid w:val="00CE41F1"/>
    <w:rsid w:val="00D010BF"/>
    <w:rsid w:val="00D0378F"/>
    <w:rsid w:val="00D1097E"/>
    <w:rsid w:val="00D16048"/>
    <w:rsid w:val="00D31805"/>
    <w:rsid w:val="00D420BB"/>
    <w:rsid w:val="00D522C8"/>
    <w:rsid w:val="00D62D72"/>
    <w:rsid w:val="00D82988"/>
    <w:rsid w:val="00DA15F3"/>
    <w:rsid w:val="00DA2FD4"/>
    <w:rsid w:val="00DB0653"/>
    <w:rsid w:val="00DC37BF"/>
    <w:rsid w:val="00DE05F5"/>
    <w:rsid w:val="00DE5950"/>
    <w:rsid w:val="00E126AA"/>
    <w:rsid w:val="00E129F2"/>
    <w:rsid w:val="00E15EEC"/>
    <w:rsid w:val="00E254C6"/>
    <w:rsid w:val="00E2702B"/>
    <w:rsid w:val="00E34455"/>
    <w:rsid w:val="00E538CB"/>
    <w:rsid w:val="00E60C7C"/>
    <w:rsid w:val="00E6175C"/>
    <w:rsid w:val="00E73995"/>
    <w:rsid w:val="00E92FAB"/>
    <w:rsid w:val="00E945C3"/>
    <w:rsid w:val="00EA1A83"/>
    <w:rsid w:val="00EA4479"/>
    <w:rsid w:val="00EC1537"/>
    <w:rsid w:val="00EE1BB1"/>
    <w:rsid w:val="00F02FBF"/>
    <w:rsid w:val="00F14431"/>
    <w:rsid w:val="00F260F4"/>
    <w:rsid w:val="00F40B0A"/>
    <w:rsid w:val="00F74569"/>
    <w:rsid w:val="00F81255"/>
    <w:rsid w:val="00FB1538"/>
    <w:rsid w:val="00FC4A49"/>
    <w:rsid w:val="00FD2ACF"/>
    <w:rsid w:val="00FD2B90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22709"/>
    <w:rPr>
      <w:color w:val="0000FF" w:themeColor="hyperlink"/>
      <w:u w:val="single"/>
    </w:rPr>
  </w:style>
  <w:style w:type="character" w:customStyle="1" w:styleId="grame">
    <w:name w:val="grame"/>
    <w:basedOn w:val="a0"/>
    <w:rsid w:val="004D0FD6"/>
  </w:style>
  <w:style w:type="character" w:styleId="af">
    <w:name w:val="annotation reference"/>
    <w:basedOn w:val="a0"/>
    <w:uiPriority w:val="99"/>
    <w:semiHidden/>
    <w:unhideWhenUsed/>
    <w:rsid w:val="006408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08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081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08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08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A26C-F853-4471-B9B9-C8FB57E7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P24_UrevaAS</cp:lastModifiedBy>
  <cp:revision>13</cp:revision>
  <cp:lastPrinted>2023-01-10T06:59:00Z</cp:lastPrinted>
  <dcterms:created xsi:type="dcterms:W3CDTF">2020-12-07T01:48:00Z</dcterms:created>
  <dcterms:modified xsi:type="dcterms:W3CDTF">2023-01-11T01:42:00Z</dcterms:modified>
</cp:coreProperties>
</file>